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color w:val="0F2238"/>
          <w:sz w:val="40"/>
        </w:rPr>
        <w:t>Method statement: tender response template</w:t>
      </w:r>
    </w:p>
    <w:p>
      <w:r>
        <w:rPr>
          <w:color w:val="5E6978"/>
        </w:rPr>
        <w:t>For the quality questions in a public sector tender that ask how you will deliver the work. Replace everything in square brackets and delete the grey guidance before you submit.</w:t>
      </w:r>
    </w:p>
    <w:p>
      <w:pPr>
        <w:pStyle w:val="Heading1"/>
      </w:pPr>
      <w:r>
        <w:t>Before you write</w:t>
      </w:r>
    </w:p>
    <w:p>
      <w:r>
        <w:rPr>
          <w:i/>
          <w:color w:val="5E6978"/>
        </w:rPr>
        <w:t>Copy the exact question, the word or page limit and the published scoring criteria below. Answer the question that was asked, in the order it was asked, using the buyer's own words. Evaluators score against the published scheme, so every sub-question needs a clear answer they can find.</w:t>
      </w:r>
    </w:p>
    <w:p>
      <w:r>
        <w:rPr>
          <w:b/>
        </w:rPr>
        <w:t xml:space="preserve">Question reference and title: </w:t>
      </w:r>
      <w:r>
        <w:t>[e.g. Q3.2 Service delivery]</w:t>
      </w:r>
    </w:p>
    <w:p>
      <w:r>
        <w:rPr>
          <w:b/>
        </w:rPr>
        <w:t xml:space="preserve">Word or page limit: </w:t>
      </w:r>
      <w:r>
        <w:t>[ ]</w:t>
      </w:r>
    </w:p>
    <w:p>
      <w:r>
        <w:rPr>
          <w:b/>
        </w:rPr>
        <w:t xml:space="preserve">Weighting: </w:t>
      </w:r>
      <w:r>
        <w:t>[ ]%</w:t>
      </w:r>
    </w:p>
    <w:p>
      <w:r>
        <w:rPr>
          <w:b/>
        </w:rPr>
        <w:t xml:space="preserve">What a top score needs, from the scoring guidance: </w:t>
      </w:r>
      <w:r>
        <w:t>[ ]</w:t>
      </w:r>
    </w:p>
    <w:p>
      <w:pPr>
        <w:pStyle w:val="Heading1"/>
      </w:pPr>
      <w:r>
        <w:t>1. Our understanding of the requirement</w:t>
      </w:r>
    </w:p>
    <w:p>
      <w:r>
        <w:rPr>
          <w:i/>
          <w:color w:val="5E6978"/>
        </w:rPr>
        <w:t>Two or three sentences in the buyer's terms: what they need, why it matters to them, and the outcome they want. Name anything specific from the specification (sites, volumes, service levels). Do not restate their background back to them.</w:t>
      </w:r>
    </w:p>
    <w:p>
      <w:r>
        <w:t>[ ]</w:t>
      </w:r>
    </w:p>
    <w:p>
      <w:pPr>
        <w:pStyle w:val="Heading1"/>
      </w:pPr>
      <w:r>
        <w:t>2. How we will deliver it</w:t>
      </w:r>
    </w:p>
    <w:p>
      <w:r>
        <w:rPr>
          <w:i/>
          <w:color w:val="5E6978"/>
        </w:rPr>
        <w:t>Your approach, step by step, mirroring the order of the specification. For each part say what you will do, how, how often and to what standard. Specific beats general: numbers, frequencies, response times.</w:t>
      </w:r>
    </w:p>
    <w:tbl>
      <w:tblPr>
        <w:tblStyle w:val="TableGrid"/>
        <w:tblW w:type="auto" w:w="0"/>
        <w:jc w:val="center"/>
        <w:tblLook w:firstColumn="1" w:firstRow="1" w:lastColumn="0" w:lastRow="0" w:noHBand="0" w:noVBand="1" w:val="04A0"/>
      </w:tblPr>
      <w:tblGrid>
        <w:gridCol w:w="3249"/>
        <w:gridCol w:w="3249"/>
        <w:gridCol w:w="3249"/>
      </w:tblGrid>
      <w:tr>
        <w:tc>
          <w:tcPr>
            <w:tcW w:type="dxa" w:w="3118"/>
            <w:shd w:val="clear" w:color="auto" w:fill="E8EEF6"/>
          </w:tcPr>
          <w:p>
            <w:r/>
            <w:r>
              <w:rPr>
                <w:b/>
              </w:rPr>
              <w:t>Requirement (from the specification)</w:t>
            </w:r>
          </w:p>
        </w:tc>
        <w:tc>
          <w:tcPr>
            <w:tcW w:type="dxa" w:w="3969"/>
            <w:shd w:val="clear" w:color="auto" w:fill="E8EEF6"/>
          </w:tcPr>
          <w:p>
            <w:r/>
            <w:r>
              <w:rPr>
                <w:b/>
              </w:rPr>
              <w:t>How we will meet it</w:t>
            </w:r>
          </w:p>
        </w:tc>
        <w:tc>
          <w:tcPr>
            <w:tcW w:type="dxa" w:w="2268"/>
            <w:shd w:val="clear" w:color="auto" w:fill="E8EEF6"/>
          </w:tcPr>
          <w:p>
            <w:r/>
            <w:r>
              <w:rPr>
                <w:b/>
              </w:rPr>
              <w:t>Standard or frequency</w:t>
            </w:r>
          </w:p>
        </w:tc>
      </w:tr>
      <w:tr>
        <w:tc>
          <w:tcPr>
            <w:tcW w:type="dxa" w:w="3118"/>
          </w:tcPr>
          <w:p>
            <w:r>
              <w:t>[ ]</w:t>
            </w:r>
          </w:p>
        </w:tc>
        <w:tc>
          <w:tcPr>
            <w:tcW w:type="dxa" w:w="3969"/>
          </w:tcPr>
          <w:p>
            <w:r>
              <w:t>[ ]</w:t>
            </w:r>
          </w:p>
        </w:tc>
        <w:tc>
          <w:tcPr>
            <w:tcW w:type="dxa" w:w="2268"/>
          </w:tcPr>
          <w:p>
            <w:r>
              <w:t>[ ]</w:t>
            </w:r>
          </w:p>
        </w:tc>
      </w:tr>
      <w:tr>
        <w:tc>
          <w:tcPr>
            <w:tcW w:type="dxa" w:w="3118"/>
          </w:tcPr>
          <w:p>
            <w:r>
              <w:t>[ ]</w:t>
            </w:r>
          </w:p>
        </w:tc>
        <w:tc>
          <w:tcPr>
            <w:tcW w:type="dxa" w:w="3969"/>
          </w:tcPr>
          <w:p>
            <w:r>
              <w:t>[ ]</w:t>
            </w:r>
          </w:p>
        </w:tc>
        <w:tc>
          <w:tcPr>
            <w:tcW w:type="dxa" w:w="2268"/>
          </w:tcPr>
          <w:p>
            <w:r>
              <w:t>[ ]</w:t>
            </w:r>
          </w:p>
        </w:tc>
      </w:tr>
      <w:tr>
        <w:tc>
          <w:tcPr>
            <w:tcW w:type="dxa" w:w="3118"/>
          </w:tcPr>
          <w:p>
            <w:r>
              <w:t>[ ]</w:t>
            </w:r>
          </w:p>
        </w:tc>
        <w:tc>
          <w:tcPr>
            <w:tcW w:type="dxa" w:w="3969"/>
          </w:tcPr>
          <w:p>
            <w:r>
              <w:t>[ ]</w:t>
            </w:r>
          </w:p>
        </w:tc>
        <w:tc>
          <w:tcPr>
            <w:tcW w:type="dxa" w:w="2268"/>
          </w:tcPr>
          <w:p>
            <w:r>
              <w:t>[ ]</w:t>
            </w:r>
          </w:p>
        </w:tc>
      </w:tr>
    </w:tbl>
    <w:p/>
    <w:p>
      <w:pPr>
        <w:pStyle w:val="Heading1"/>
      </w:pPr>
      <w:r>
        <w:t>3. People and resources</w:t>
      </w:r>
    </w:p>
    <w:p>
      <w:r>
        <w:rPr>
          <w:i/>
          <w:color w:val="5E6978"/>
        </w:rPr>
        <w:t>Who will do the work: named key people, their roles, relevant qualifications and experience, and how many staff. Include cover for holidays and absence, and the equipment or systems you will use.</w:t>
      </w:r>
    </w:p>
    <w:tbl>
      <w:tblPr>
        <w:tblStyle w:val="TableGrid"/>
        <w:tblW w:type="auto" w:w="0"/>
        <w:jc w:val="center"/>
        <w:tblLook w:firstColumn="1" w:firstRow="1" w:lastColumn="0" w:lastRow="0" w:noHBand="0" w:noVBand="1" w:val="04A0"/>
      </w:tblPr>
      <w:tblGrid>
        <w:gridCol w:w="3249"/>
        <w:gridCol w:w="3249"/>
        <w:gridCol w:w="3249"/>
      </w:tblGrid>
      <w:tr>
        <w:tc>
          <w:tcPr>
            <w:tcW w:type="dxa" w:w="2268"/>
            <w:shd w:val="clear" w:color="auto" w:fill="E8EEF6"/>
          </w:tcPr>
          <w:p>
            <w:r/>
            <w:r>
              <w:rPr>
                <w:b/>
              </w:rPr>
              <w:t>Name</w:t>
            </w:r>
          </w:p>
        </w:tc>
        <w:tc>
          <w:tcPr>
            <w:tcW w:type="dxa" w:w="2551"/>
            <w:shd w:val="clear" w:color="auto" w:fill="E8EEF6"/>
          </w:tcPr>
          <w:p>
            <w:r/>
            <w:r>
              <w:rPr>
                <w:b/>
              </w:rPr>
              <w:t>Role on this contract</w:t>
            </w:r>
          </w:p>
        </w:tc>
        <w:tc>
          <w:tcPr>
            <w:tcW w:type="dxa" w:w="4535"/>
            <w:shd w:val="clear" w:color="auto" w:fill="E8EEF6"/>
          </w:tcPr>
          <w:p>
            <w:r/>
            <w:r>
              <w:rPr>
                <w:b/>
              </w:rPr>
              <w:t>Relevant qualifications and experience</w:t>
            </w:r>
          </w:p>
        </w:tc>
      </w:tr>
      <w:tr>
        <w:tc>
          <w:tcPr>
            <w:tcW w:type="dxa" w:w="2268"/>
          </w:tcPr>
          <w:p>
            <w:r>
              <w:t>[ ]</w:t>
            </w:r>
          </w:p>
        </w:tc>
        <w:tc>
          <w:tcPr>
            <w:tcW w:type="dxa" w:w="2551"/>
          </w:tcPr>
          <w:p>
            <w:r>
              <w:t>[ ]</w:t>
            </w:r>
          </w:p>
        </w:tc>
        <w:tc>
          <w:tcPr>
            <w:tcW w:type="dxa" w:w="4535"/>
          </w:tcPr>
          <w:p>
            <w:r>
              <w:t>[ ]</w:t>
            </w:r>
          </w:p>
        </w:tc>
      </w:tr>
      <w:tr>
        <w:tc>
          <w:tcPr>
            <w:tcW w:type="dxa" w:w="2268"/>
          </w:tcPr>
          <w:p>
            <w:r>
              <w:t>[ ]</w:t>
            </w:r>
          </w:p>
        </w:tc>
        <w:tc>
          <w:tcPr>
            <w:tcW w:type="dxa" w:w="2551"/>
          </w:tcPr>
          <w:p>
            <w:r>
              <w:t>[ ]</w:t>
            </w:r>
          </w:p>
        </w:tc>
        <w:tc>
          <w:tcPr>
            <w:tcW w:type="dxa" w:w="4535"/>
          </w:tcPr>
          <w:p>
            <w:r>
              <w:t>[ ]</w:t>
            </w:r>
          </w:p>
        </w:tc>
      </w:tr>
    </w:tbl>
    <w:p/>
    <w:p>
      <w:pPr>
        <w:pStyle w:val="Heading1"/>
      </w:pPr>
      <w:r>
        <w:t>4. Mobilisation and timeline</w:t>
      </w:r>
    </w:p>
    <w:p>
      <w:r>
        <w:rPr>
          <w:i/>
          <w:color w:val="5E6978"/>
        </w:rPr>
        <w:t>How you will get from contract award to full service: the key steps, who is responsible and when. If staff transfer under TUPE, say how you will handle it. See our mobilisation plans guide.</w:t>
      </w:r>
    </w:p>
    <w:tbl>
      <w:tblPr>
        <w:tblStyle w:val="TableGrid"/>
        <w:tblW w:type="auto" w:w="0"/>
        <w:jc w:val="center"/>
        <w:tblLook w:firstColumn="1" w:firstRow="1" w:lastColumn="0" w:lastRow="0" w:noHBand="0" w:noVBand="1" w:val="04A0"/>
      </w:tblPr>
      <w:tblGrid>
        <w:gridCol w:w="3249"/>
        <w:gridCol w:w="3249"/>
        <w:gridCol w:w="3249"/>
      </w:tblGrid>
      <w:tr>
        <w:tc>
          <w:tcPr>
            <w:tcW w:type="dxa" w:w="1984"/>
            <w:shd w:val="clear" w:color="auto" w:fill="E8EEF6"/>
          </w:tcPr>
          <w:p>
            <w:r/>
            <w:r>
              <w:rPr>
                <w:b/>
              </w:rPr>
              <w:t>When</w:t>
            </w:r>
          </w:p>
        </w:tc>
        <w:tc>
          <w:tcPr>
            <w:tcW w:type="dxa" w:w="5102"/>
            <w:shd w:val="clear" w:color="auto" w:fill="E8EEF6"/>
          </w:tcPr>
          <w:p>
            <w:r/>
            <w:r>
              <w:rPr>
                <w:b/>
              </w:rPr>
              <w:t>What happens</w:t>
            </w:r>
          </w:p>
        </w:tc>
        <w:tc>
          <w:tcPr>
            <w:tcW w:type="dxa" w:w="2268"/>
            <w:shd w:val="clear" w:color="auto" w:fill="E8EEF6"/>
          </w:tcPr>
          <w:p>
            <w:r/>
            <w:r>
              <w:rPr>
                <w:b/>
              </w:rPr>
              <w:t>Who is responsible</w:t>
            </w:r>
          </w:p>
        </w:tc>
      </w:tr>
      <w:tr>
        <w:tc>
          <w:tcPr>
            <w:tcW w:type="dxa" w:w="1984"/>
          </w:tcPr>
          <w:p>
            <w:r>
              <w:t>Week 1</w:t>
            </w:r>
          </w:p>
        </w:tc>
        <w:tc>
          <w:tcPr>
            <w:tcW w:type="dxa" w:w="5102"/>
          </w:tcPr>
          <w:p>
            <w:r>
              <w:t>[ ]</w:t>
            </w:r>
          </w:p>
        </w:tc>
        <w:tc>
          <w:tcPr>
            <w:tcW w:type="dxa" w:w="2268"/>
          </w:tcPr>
          <w:p>
            <w:r>
              <w:t>[ ]</w:t>
            </w:r>
          </w:p>
        </w:tc>
      </w:tr>
      <w:tr>
        <w:tc>
          <w:tcPr>
            <w:tcW w:type="dxa" w:w="1984"/>
          </w:tcPr>
          <w:p>
            <w:r>
              <w:t>Week 2 to 4</w:t>
            </w:r>
          </w:p>
        </w:tc>
        <w:tc>
          <w:tcPr>
            <w:tcW w:type="dxa" w:w="5102"/>
          </w:tcPr>
          <w:p>
            <w:r>
              <w:t>[ ]</w:t>
            </w:r>
          </w:p>
        </w:tc>
        <w:tc>
          <w:tcPr>
            <w:tcW w:type="dxa" w:w="2268"/>
          </w:tcPr>
          <w:p>
            <w:r>
              <w:t>[ ]</w:t>
            </w:r>
          </w:p>
        </w:tc>
      </w:tr>
      <w:tr>
        <w:tc>
          <w:tcPr>
            <w:tcW w:type="dxa" w:w="1984"/>
          </w:tcPr>
          <w:p>
            <w:r>
              <w:t>Go-live</w:t>
            </w:r>
          </w:p>
        </w:tc>
        <w:tc>
          <w:tcPr>
            <w:tcW w:type="dxa" w:w="5102"/>
          </w:tcPr>
          <w:p>
            <w:r>
              <w:t>[ ]</w:t>
            </w:r>
          </w:p>
        </w:tc>
        <w:tc>
          <w:tcPr>
            <w:tcW w:type="dxa" w:w="2268"/>
          </w:tcPr>
          <w:p>
            <w:r>
              <w:t>[ ]</w:t>
            </w:r>
          </w:p>
        </w:tc>
      </w:tr>
    </w:tbl>
    <w:p/>
    <w:p>
      <w:pPr>
        <w:pStyle w:val="Heading1"/>
      </w:pPr>
      <w:r>
        <w:t>5. Risks and how we will manage them</w:t>
      </w:r>
    </w:p>
    <w:p>
      <w:r>
        <w:rPr>
          <w:i/>
          <w:color w:val="5E6978"/>
        </w:rPr>
        <w:t>The three or four real risks to this service (not generic ones) and what you will do about each.</w:t>
      </w:r>
    </w:p>
    <w:tbl>
      <w:tblPr>
        <w:tblStyle w:val="TableGrid"/>
        <w:tblW w:type="auto" w:w="0"/>
        <w:jc w:val="center"/>
        <w:tblLook w:firstColumn="1" w:firstRow="1" w:lastColumn="0" w:lastRow="0" w:noHBand="0" w:noVBand="1" w:val="04A0"/>
      </w:tblPr>
      <w:tblGrid>
        <w:gridCol w:w="3249"/>
        <w:gridCol w:w="3249"/>
        <w:gridCol w:w="3249"/>
      </w:tblGrid>
      <w:tr>
        <w:tc>
          <w:tcPr>
            <w:tcW w:type="dxa" w:w="2835"/>
            <w:shd w:val="clear" w:color="auto" w:fill="E8EEF6"/>
          </w:tcPr>
          <w:p>
            <w:r/>
            <w:r>
              <w:rPr>
                <w:b/>
              </w:rPr>
              <w:t>Risk</w:t>
            </w:r>
          </w:p>
        </w:tc>
        <w:tc>
          <w:tcPr>
            <w:tcW w:type="dxa" w:w="1984"/>
            <w:shd w:val="clear" w:color="auto" w:fill="E8EEF6"/>
          </w:tcPr>
          <w:p>
            <w:r/>
            <w:r>
              <w:rPr>
                <w:b/>
              </w:rPr>
              <w:t>Likelihood and impact</w:t>
            </w:r>
          </w:p>
        </w:tc>
        <w:tc>
          <w:tcPr>
            <w:tcW w:type="dxa" w:w="4535"/>
            <w:shd w:val="clear" w:color="auto" w:fill="E8EEF6"/>
          </w:tcPr>
          <w:p>
            <w:r/>
            <w:r>
              <w:rPr>
                <w:b/>
              </w:rPr>
              <w:t>How we will prevent or manage it</w:t>
            </w:r>
          </w:p>
        </w:tc>
      </w:tr>
      <w:tr>
        <w:tc>
          <w:tcPr>
            <w:tcW w:type="dxa" w:w="2835"/>
          </w:tcPr>
          <w:p>
            <w:r>
              <w:t>[ ]</w:t>
            </w:r>
          </w:p>
        </w:tc>
        <w:tc>
          <w:tcPr>
            <w:tcW w:type="dxa" w:w="1984"/>
          </w:tcPr>
          <w:p>
            <w:r>
              <w:t>[ ]</w:t>
            </w:r>
          </w:p>
        </w:tc>
        <w:tc>
          <w:tcPr>
            <w:tcW w:type="dxa" w:w="4535"/>
          </w:tcPr>
          <w:p>
            <w:r>
              <w:t>[ ]</w:t>
            </w:r>
          </w:p>
        </w:tc>
      </w:tr>
      <w:tr>
        <w:tc>
          <w:tcPr>
            <w:tcW w:type="dxa" w:w="2835"/>
          </w:tcPr>
          <w:p>
            <w:r>
              <w:t>[ ]</w:t>
            </w:r>
          </w:p>
        </w:tc>
        <w:tc>
          <w:tcPr>
            <w:tcW w:type="dxa" w:w="1984"/>
          </w:tcPr>
          <w:p>
            <w:r>
              <w:t>[ ]</w:t>
            </w:r>
          </w:p>
        </w:tc>
        <w:tc>
          <w:tcPr>
            <w:tcW w:type="dxa" w:w="4535"/>
          </w:tcPr>
          <w:p>
            <w:r>
              <w:t>[ ]</w:t>
            </w:r>
          </w:p>
        </w:tc>
      </w:tr>
      <w:tr>
        <w:tc>
          <w:tcPr>
            <w:tcW w:type="dxa" w:w="2835"/>
          </w:tcPr>
          <w:p>
            <w:r>
              <w:t>[ ]</w:t>
            </w:r>
          </w:p>
        </w:tc>
        <w:tc>
          <w:tcPr>
            <w:tcW w:type="dxa" w:w="1984"/>
          </w:tcPr>
          <w:p>
            <w:r>
              <w:t>[ ]</w:t>
            </w:r>
          </w:p>
        </w:tc>
        <w:tc>
          <w:tcPr>
            <w:tcW w:type="dxa" w:w="4535"/>
          </w:tcPr>
          <w:p>
            <w:r>
              <w:t>[ ]</w:t>
            </w:r>
          </w:p>
        </w:tc>
      </w:tr>
    </w:tbl>
    <w:p/>
    <w:p>
      <w:pPr>
        <w:pStyle w:val="Heading1"/>
      </w:pPr>
      <w:r>
        <w:t>6. Quality, performance and reporting</w:t>
      </w:r>
    </w:p>
    <w:p>
      <w:r>
        <w:rPr>
          <w:i/>
          <w:color w:val="5E6978"/>
        </w:rPr>
        <w:t>How you will check the work is right, the measures you will report against (use the buyer's KPIs if they have published them), how often you will report, and what happens when something goes wrong.</w:t>
      </w:r>
    </w:p>
    <w:p>
      <w:r>
        <w:t>[ ]</w:t>
      </w:r>
    </w:p>
    <w:p>
      <w:pPr>
        <w:pStyle w:val="Heading1"/>
      </w:pPr>
      <w:r>
        <w:t>7. Evidence</w:t>
      </w:r>
    </w:p>
    <w:p>
      <w:r>
        <w:rPr>
          <w:i/>
          <w:color w:val="5E6978"/>
        </w:rPr>
        <w:t>One or two short examples of doing similar work, each with the client, what you did and the result in numbers. Private sector work counts: say why it is like this contract.</w:t>
      </w:r>
    </w:p>
    <w:p>
      <w:r>
        <w:rPr>
          <w:b/>
        </w:rPr>
        <w:t xml:space="preserve">Example: </w:t>
      </w:r>
      <w:r>
        <w:t>[Client, what we did, the result]</w:t>
      </w:r>
    </w:p>
    <w:p>
      <w:pPr>
        <w:pStyle w:val="Heading1"/>
      </w:pPr>
      <w:r>
        <w:t>Final checks before you submit</w:t>
      </w:r>
    </w:p>
    <w:p>
      <w:pPr>
        <w:pStyle w:val="ListBullet"/>
      </w:pPr>
      <w:r>
        <w:t>Every sub-question answered, in the order asked, and easy to find.</w:t>
      </w:r>
    </w:p>
    <w:p>
      <w:pPr>
        <w:pStyle w:val="ListBullet"/>
      </w:pPr>
      <w:r>
        <w:t>Within the word or page limit, including any tables.</w:t>
      </w:r>
    </w:p>
    <w:p>
      <w:pPr>
        <w:pStyle w:val="ListBullet"/>
      </w:pPr>
      <w:r>
        <w:t>The buyer's own terms used, and the published scoring criteria covered.</w:t>
      </w:r>
    </w:p>
    <w:p>
      <w:pPr>
        <w:pStyle w:val="ListBullet"/>
      </w:pPr>
      <w:r>
        <w:t>Named people, numbers and dates rather than general claims.</w:t>
      </w:r>
    </w:p>
    <w:p>
      <w:pPr>
        <w:pStyle w:val="ListBullet"/>
      </w:pPr>
      <w:r>
        <w:t>Grey guidance and empty brackets deleted.</w:t>
      </w:r>
    </w:p>
    <w:p>
      <w:r>
        <w:rPr>
          <w:i/>
          <w:color w:val="5E6978"/>
        </w:rPr>
        <w:t>More on writing an answer that scores: tender-radar.co.uk/guides/method-statements-that-score</w:t>
      </w:r>
    </w:p>
    <w:sectPr w:rsidR="00FC693F" w:rsidRPr="0006063C" w:rsidSect="00034616">
      <w:footerReference w:type="default" r:id="rId9"/>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E6978"/>
        <w:sz w:val="16"/>
      </w:rPr>
      <w:t>Free template from Tender Radar, tender-radar.co.uk. General guidance, not legal or safety advice.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eastAsia="Arial" w:cs="Arial"/>
      <w:b/>
      <w:bCs/>
      <w:color w:val="0F2238"/>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eastAsia="Arial" w:cs="Arial"/>
      <w:b/>
      <w:bCs/>
      <w:color w:val="0F2238"/>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